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Style w:val="7"/>
          <w:rFonts w:hint="eastAsia" w:ascii="宋体" w:hAnsi="宋体" w:eastAsia="宋体" w:cs="宋体"/>
          <w:b/>
          <w:color w:val="auto"/>
          <w:sz w:val="36"/>
          <w:szCs w:val="36"/>
        </w:rPr>
        <w:t>询价</w:t>
      </w:r>
      <w:r>
        <w:rPr>
          <w:rStyle w:val="7"/>
          <w:rFonts w:hint="eastAsia" w:ascii="宋体" w:hAnsi="宋体" w:cs="宋体"/>
          <w:b/>
          <w:color w:val="auto"/>
          <w:sz w:val="36"/>
          <w:szCs w:val="36"/>
          <w:lang w:val="en-US" w:eastAsia="zh-CN"/>
        </w:rPr>
        <w:t>公告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福建钜学工程管理有限公司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采用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询价采购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方式组织</w:t>
      </w:r>
      <w:r>
        <w:rPr>
          <w:rFonts w:hint="eastAsia" w:ascii="宋体" w:hAnsi="宋体" w:cs="宋体"/>
          <w:color w:val="auto"/>
          <w:sz w:val="21"/>
          <w:szCs w:val="21"/>
          <w:u w:val="single"/>
          <w:lang w:eastAsia="zh-CN"/>
        </w:rPr>
        <w:t>长汀职专标准化考点改造提升采购项目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（以下简称：“本项目”）的采购活动，现采用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方式，邀请供应商参加报价。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、询价内容及要求：详见附2：《采购标的一览表及询价通知书第四章》。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、需要落实的</w:t>
      </w:r>
      <w:bookmarkStart w:id="1" w:name="_GoBack"/>
      <w:bookmarkEnd w:id="1"/>
      <w:r>
        <w:rPr>
          <w:rFonts w:hint="eastAsia" w:ascii="宋体" w:hAnsi="宋体" w:eastAsia="宋体" w:cs="宋体"/>
          <w:color w:val="auto"/>
          <w:sz w:val="21"/>
          <w:szCs w:val="21"/>
        </w:rPr>
        <w:t>采购政策：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详见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询价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文件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、供应商的资格要求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.1法定条件：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详见询价文件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.2特定条件：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.3是否接受联合体报价：不接受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color w:val="auto"/>
          <w:sz w:val="21"/>
          <w:szCs w:val="21"/>
        </w:rPr>
        <w:t>※根据上述资格要求，响应文件中应提交的“供应商的资格及资信证明文件”详见询价通知书第六章。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、报名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.1报名期限：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自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2023年12月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日起至202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年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12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日止（节假日及公休日除外），上午8：30-12：00，下午14：30—17：30（北京时间，以下同）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.2报名期限内，供应商应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向福建钜学工程管理有限公司报名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  <w:r>
        <w:rPr>
          <w:rStyle w:val="7"/>
          <w:rFonts w:hint="eastAsia" w:ascii="宋体" w:hAnsi="宋体" w:eastAsia="宋体" w:cs="宋体"/>
          <w:b/>
          <w:color w:val="auto"/>
          <w:sz w:val="21"/>
          <w:szCs w:val="21"/>
        </w:rPr>
        <w:t>未报名将导致响应文件被拒收。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、询价通知书的获取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.1询价通知书的提供期限：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向福建钜学工程管理有限公司获取。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.2获取地点及方式：凡有意参加投标者，请于</w:t>
      </w:r>
      <w:bookmarkStart w:id="0" w:name="EBdc465589e5014947b00347ef82121d25"/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规定时间前</w:t>
      </w:r>
      <w:bookmarkEnd w:id="0"/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到福建钜学工程管理有限公司（福建省长汀县腾飞二路天守公寓第四幢第一单元四层）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获取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招标文件等相关资料。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  <w:lang w:val="en-US" w:eastAsia="zh-CN"/>
        </w:rPr>
        <w:t>注：采购人（采购代理机构）将以邮件、qq或微信发送等方式出售招标文件电子版。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.3、询价通知书售价：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0元。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  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、提交响应文件截止时间：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2023年12月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日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0（北京时间）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。供应商应在此之前将密封的响应文件送达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福建钜学工程管理有限公司（福建省长汀县腾飞二路天守公寓第四幢第一单元四层）工作人员处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，逾期送达的或不符合规定的响应文件将被拒绝接收。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、询价时间及地点：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时间：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2023年12月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日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0（北京时间），地点：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福建钜学工程管理有限公司 （福建省长汀县腾飞二路天守公寓第四幢第一单元四层）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（注：投标文件可采用邮寄的方式送达，采用邮寄方式递交的投标文件也应在投标截止时间前送达，快递丢失的风险由投标人自行承担。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未参与开标会的，视为认可开标结果及开标程序，不得对开标结果及程序提出异议。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、公告期限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.1询价公告的公告期限：自发布公告之日起3个工作日。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.2询价通知书随同询价公告一并发布，其公告期限与询价公告的期限保持一致。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480" w:leftChars="0" w:right="0" w:rightChars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联系方式：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right="0" w:rightChars="0"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采购人：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福建省长汀职业中专学校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480" w:leftChars="0" w:right="0" w:rightChars="0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地址：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长汀县江滨路坝园区16号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480"/>
        <w:rPr>
          <w:rFonts w:hint="eastAsia" w:ascii="宋体" w:hAnsi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联系人：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汪先生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480"/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联系方法：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18905977061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480"/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代理机构：福建钜学工程管理有限公司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地址：龙岩市长汀县腾飞二路1号天守公寓第四幢第一单元四层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联系人：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小刘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联系方法：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0597-6586799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附1：询价保证金信息</w:t>
      </w:r>
    </w:p>
    <w:tbl>
      <w:tblPr>
        <w:tblStyle w:val="5"/>
        <w:tblW w:w="0" w:type="auto"/>
        <w:tblCellSpacing w:w="15" w:type="dxa"/>
        <w:tblInd w:w="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654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8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免缴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附2：采购标的一览表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/>
        <w:jc w:val="righ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金额单位：人民币元</w:t>
      </w:r>
    </w:p>
    <w:tbl>
      <w:tblPr>
        <w:tblStyle w:val="5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924"/>
        <w:gridCol w:w="1249"/>
        <w:gridCol w:w="975"/>
        <w:gridCol w:w="1475"/>
        <w:gridCol w:w="925"/>
        <w:gridCol w:w="1847"/>
        <w:gridCol w:w="14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合同包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1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品目号预算</w:t>
            </w:r>
          </w:p>
        </w:tc>
        <w:tc>
          <w:tcPr>
            <w:tcW w:w="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允许进口</w:t>
            </w:r>
          </w:p>
        </w:tc>
        <w:tc>
          <w:tcPr>
            <w:tcW w:w="1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合同包预算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询价保证金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54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tbl>
            <w:tblPr>
              <w:tblStyle w:val="5"/>
              <w:tblW w:w="0" w:type="auto"/>
              <w:jc w:val="center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outset" w:color="auto" w:sz="6" w:space="0"/>
                <w:insideV w:val="outset" w:color="auto" w:sz="6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9"/>
              <w:gridCol w:w="1239"/>
              <w:gridCol w:w="975"/>
              <w:gridCol w:w="1464"/>
              <w:gridCol w:w="920"/>
            </w:tblGrid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91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 w:val="0"/>
                  <w:vAlign w:val="center"/>
                </w:tcPr>
                <w:p>
                  <w:pPr>
                    <w:pStyle w:val="4"/>
                    <w:spacing w:line="360" w:lineRule="auto"/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b w:val="0"/>
                      <w:sz w:val="21"/>
                      <w:szCs w:val="21"/>
                      <w:lang w:val="en-US" w:eastAsia="zh-CN"/>
                    </w:rPr>
                    <w:t>-1</w:t>
                  </w:r>
                </w:p>
              </w:tc>
              <w:tc>
                <w:tcPr>
                  <w:tcW w:w="123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color w:val="auto"/>
                      <w:sz w:val="21"/>
                      <w:szCs w:val="21"/>
                    </w:rPr>
                    <w:t>智能安检门</w:t>
                  </w:r>
                </w:p>
              </w:tc>
              <w:tc>
                <w:tcPr>
                  <w:tcW w:w="9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360" w:lineRule="auto"/>
                    <w:jc w:val="center"/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2台</w:t>
                  </w:r>
                </w:p>
              </w:tc>
              <w:tc>
                <w:tcPr>
                  <w:tcW w:w="146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36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99600</w:t>
                  </w:r>
                </w:p>
              </w:tc>
              <w:tc>
                <w:tcPr>
                  <w:tcW w:w="92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36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91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 w:val="0"/>
                  <w:vAlign w:val="center"/>
                </w:tcPr>
                <w:p>
                  <w:pPr>
                    <w:pStyle w:val="4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/>
                      <w:b w:val="0"/>
                      <w:sz w:val="21"/>
                      <w:szCs w:val="21"/>
                      <w:lang w:val="en-US" w:eastAsia="zh-CN"/>
                    </w:rPr>
                    <w:t>1-</w:t>
                  </w:r>
                  <w:r>
                    <w:rPr>
                      <w:rFonts w:hint="eastAsia" w:ascii="宋体" w:hAnsi="宋体"/>
                      <w:b w:val="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23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line="360" w:lineRule="auto"/>
                    <w:jc w:val="center"/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/>
                      <w:bCs/>
                      <w:color w:val="auto"/>
                      <w:sz w:val="21"/>
                      <w:szCs w:val="21"/>
                    </w:rPr>
                    <w:t>视频监控设备</w:t>
                  </w:r>
                </w:p>
              </w:tc>
              <w:tc>
                <w:tcPr>
                  <w:tcW w:w="9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360" w:lineRule="auto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4套</w:t>
                  </w:r>
                </w:p>
              </w:tc>
              <w:tc>
                <w:tcPr>
                  <w:tcW w:w="146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360" w:lineRule="auto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16560</w:t>
                  </w:r>
                </w:p>
              </w:tc>
              <w:tc>
                <w:tcPr>
                  <w:tcW w:w="92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36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91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 w:val="0"/>
                  <w:vAlign w:val="center"/>
                </w:tcPr>
                <w:p>
                  <w:pPr>
                    <w:pStyle w:val="4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/>
                      <w:b w:val="0"/>
                      <w:sz w:val="21"/>
                      <w:szCs w:val="21"/>
                      <w:lang w:val="en-US" w:eastAsia="zh-CN"/>
                    </w:rPr>
                    <w:t>1-</w:t>
                  </w:r>
                  <w:r>
                    <w:rPr>
                      <w:rFonts w:hint="eastAsia" w:ascii="宋体" w:hAnsi="宋体"/>
                      <w:b w:val="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23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line="360" w:lineRule="auto"/>
                    <w:jc w:val="center"/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高考计时器</w:t>
                  </w:r>
                </w:p>
              </w:tc>
              <w:tc>
                <w:tcPr>
                  <w:tcW w:w="9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360" w:lineRule="auto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1台</w:t>
                  </w:r>
                </w:p>
              </w:tc>
              <w:tc>
                <w:tcPr>
                  <w:tcW w:w="146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360" w:lineRule="auto"/>
                    <w:jc w:val="center"/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1200</w:t>
                  </w:r>
                </w:p>
              </w:tc>
              <w:tc>
                <w:tcPr>
                  <w:tcW w:w="92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36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否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36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91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 w:val="0"/>
                  <w:vAlign w:val="center"/>
                </w:tcPr>
                <w:p>
                  <w:pPr>
                    <w:pStyle w:val="4"/>
                    <w:spacing w:line="360" w:lineRule="auto"/>
                    <w:rPr>
                      <w:rFonts w:hint="default" w:ascii="宋体" w:hAnsi="宋体"/>
                      <w:b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sz w:val="21"/>
                      <w:szCs w:val="21"/>
                      <w:lang w:val="en-US" w:eastAsia="zh-CN"/>
                    </w:rPr>
                    <w:t>1-4</w:t>
                  </w:r>
                </w:p>
              </w:tc>
              <w:tc>
                <w:tcPr>
                  <w:tcW w:w="123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line="360" w:lineRule="auto"/>
                    <w:jc w:val="center"/>
                    <w:rPr>
                      <w:rFonts w:hint="default" w:eastAsia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lang w:val="en-US" w:eastAsia="zh-CN"/>
                    </w:rPr>
                    <w:t>自动打铃器</w:t>
                  </w:r>
                </w:p>
              </w:tc>
              <w:tc>
                <w:tcPr>
                  <w:tcW w:w="9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360" w:lineRule="auto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1台</w:t>
                  </w:r>
                </w:p>
              </w:tc>
              <w:tc>
                <w:tcPr>
                  <w:tcW w:w="146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360" w:lineRule="auto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400</w:t>
                  </w:r>
                </w:p>
              </w:tc>
              <w:tc>
                <w:tcPr>
                  <w:tcW w:w="92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360" w:lineRule="auto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91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 w:val="0"/>
                  <w:vAlign w:val="center"/>
                </w:tcPr>
                <w:p>
                  <w:pPr>
                    <w:pStyle w:val="4"/>
                    <w:spacing w:line="360" w:lineRule="auto"/>
                    <w:rPr>
                      <w:rFonts w:hint="default" w:ascii="宋体" w:hAnsi="宋体"/>
                      <w:b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sz w:val="21"/>
                      <w:szCs w:val="21"/>
                      <w:lang w:val="en-US" w:eastAsia="zh-CN"/>
                    </w:rPr>
                    <w:t>1-5</w:t>
                  </w:r>
                </w:p>
              </w:tc>
              <w:tc>
                <w:tcPr>
                  <w:tcW w:w="123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line="360" w:lineRule="auto"/>
                    <w:jc w:val="center"/>
                    <w:rPr>
                      <w:rFonts w:hint="default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lang w:val="en-US" w:eastAsia="zh-CN"/>
                    </w:rPr>
                    <w:t>广播系统迁移</w:t>
                  </w:r>
                </w:p>
              </w:tc>
              <w:tc>
                <w:tcPr>
                  <w:tcW w:w="9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360" w:lineRule="auto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1项</w:t>
                  </w:r>
                </w:p>
              </w:tc>
              <w:tc>
                <w:tcPr>
                  <w:tcW w:w="146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360" w:lineRule="auto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1500</w:t>
                  </w:r>
                </w:p>
              </w:tc>
              <w:tc>
                <w:tcPr>
                  <w:tcW w:w="92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360" w:lineRule="auto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否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119260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免缴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rStyle w:val="7"/>
          <w:rFonts w:hint="eastAsia" w:ascii="宋体" w:hAnsi="宋体" w:eastAsia="宋体" w:cs="宋体"/>
          <w:b/>
          <w:i w:val="0"/>
          <w:caps w:val="0"/>
          <w:color w:val="auto"/>
          <w:spacing w:val="0"/>
          <w:sz w:val="36"/>
          <w:szCs w:val="36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  <w:rPr>
          <w:rStyle w:val="7"/>
          <w:rFonts w:hint="eastAsia" w:ascii="宋体" w:hAnsi="宋体" w:eastAsia="宋体" w:cs="宋体"/>
          <w:b/>
          <w:i w:val="0"/>
          <w:caps w:val="0"/>
          <w:color w:val="auto"/>
          <w:spacing w:val="0"/>
          <w:sz w:val="36"/>
          <w:szCs w:val="36"/>
          <w:shd w:val="clear" w:color="auto" w:fill="FFFFFF"/>
        </w:rPr>
      </w:pPr>
    </w:p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1C044B"/>
    <w:multiLevelType w:val="singleLevel"/>
    <w:tmpl w:val="F71C044B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YTM2NWRiNGZmZmM4NTNkODc2MmRiYWM4NTI4M2MifQ=="/>
  </w:docVars>
  <w:rsids>
    <w:rsidRoot w:val="72B5584A"/>
    <w:rsid w:val="72B5584A"/>
    <w:rsid w:val="795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Cs w:val="20"/>
    </w:rPr>
  </w:style>
  <w:style w:type="paragraph" w:styleId="3">
    <w:name w:val="Normal (Web)"/>
    <w:basedOn w:val="1"/>
    <w:next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2023-12-12T03:00:00Z</dcterms:created>
  <dc:creator>刘旭盈</dc:creator>
  <cp:lastModifiedBy>刘旭盈</cp:lastModifiedBy>
  <dcterms:modified xsi:type="dcterms:W3CDTF">2023-12-12T03:04:23Z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AE000EAA021C47699CBC4A1728B9269B_11</vt:lpwstr>
  </property>
</Properties>
</file>